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1B" w:rsidRDefault="00A70D1B" w:rsidP="007A70D0">
      <w:pPr>
        <w:pStyle w:val="a3"/>
        <w:spacing w:after="0" w:line="360" w:lineRule="auto"/>
        <w:ind w:left="163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Требования к оформлению выпускных квалификационных работ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Текст  работы набирается на компьютере (шрифт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TimesNewRoman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размер 14),  печатается на одной стороне стандартного листа белой бумаги формата 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(размер – 297мм х 210 мм).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Используемый межстрочный интервал -  1,5;  по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ля: левое – 3 см, верхнее – 2 см, правое – не менее 1 см, нижнее – 2,5 см. </w:t>
      </w:r>
      <w:proofErr w:type="gramEnd"/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Выпускные квалификационные работы открываются титульным листом, на котором указываются: наименование Университета (Федеральное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 (МГУПС (МИИТ)); название института (Юридический институт); название кафедры; полное наименование темы работы; фамилия, имя, отчество студента; номер группы; ученая степень и звание, фамилия и инициалы преподавателя, проверяющего работу или научного руководителя;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 и год выполнения работы. На титульном листе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выпускной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квалификационной работы располагается также подпись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выпускающей кафедры, его ученая степень, ученое звание, фамилия и инициалы. Титульный лист является первой страницей работы, включается в общую нумерацию страниц, однако номер страницы на титульном листе не проставляется.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титульным  листом располагается оглавление. Оглавление отражает план (содержание) исследования. В оглавлении указываются наименования заголовков структурных частей работы с их обозначением по номерам страниц. К структурным частям работы могут относиться: введение, главы, параграфы внутри глав, заключение, список использованных источников, и приложения. Все заголовки в оглавлении  набираются строчными буквами, за исключением первой (прописной).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Заголовки глав или разделов, слова «Оглавление», «Введение», «Заключение», «Список использованных источников» печатаются полностью, как правило, прописными буквами и размещаются посередине строки. Точка в конце таких заглавий не ставится. В заглавиях не допустим перенос и подчеркивание слов.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Заголовки глав (разделов) должны быть, по возможности, краткими, и соответствовать содержанию соответствующих структурных частей.   Название  главы (раздела) отделяется от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названия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следующего за ней параграфа (подраздела или пункта) пустой строкой.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Заголовки параграфов, подразделов или пунктов набираются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строчными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буквам (первая – прописная) и располагаются в центре страницы. Точка в конце заглавий не ставится.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цитировании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следует придерживаться следующих правил: </w:t>
      </w:r>
    </w:p>
    <w:p w:rsidR="00A70D1B" w:rsidRDefault="00A70D1B" w:rsidP="00A70D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смысла.</w:t>
      </w:r>
    </w:p>
    <w:p w:rsidR="00A70D1B" w:rsidRDefault="00A70D1B" w:rsidP="00A70D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выделении в цитате какого-либо слова (слов), необходимо после такого выделения в скобках оговорить об этом выделении.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Например: (курсив мой.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И.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.). Также инициалы автора работы  должны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ставится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после иных пояснений, введенных в текст цитаты. Например: «Им (Л.С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Талем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И.И..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  была сформулирована концепция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работодательской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власти».</w:t>
      </w:r>
    </w:p>
    <w:p w:rsidR="00A70D1B" w:rsidRDefault="00A70D1B" w:rsidP="00A70D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каждая цитата должна сопровождаться ссылкой на источник, библиографическое описание которого должно приводиться 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требованиями библиографических стандартов (см. далее).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использовании в работе таблиц, они размещаются по мере их упоминания в тексте, сразу после ссылки на соответствующую таблицу в работе. Если таблиц несколько, они нумеруются арабскими цифрами в пределах всего текста. Над правым верхним углом таблицы помещается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надпись "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Таблица…"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указанием ее порядкового номера (без знака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). Например: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Таблица 4.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Если в тексте только одна таблица она не нумеруется. Перед размещением такого материала должен помещаться тематический заголовок (название, отражающее содержание этого материала), который располагают посередине страницы и пишут с прописной буквы без точки в конце. Подчеркивать заголовок не следует.  При переносе таблицы (схемы, диаграммы и т.п.) на другую страницу должно быть повторено название ее граф и над ней поместить надпись: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Продолжение таблицы… (название таблицы)».</w:t>
      </w:r>
    </w:p>
    <w:p w:rsidR="00A70D1B" w:rsidRDefault="00A70D1B" w:rsidP="00A70D1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в текст работы включаются иллюстрации, фотографии, графики и подобные материалы, они именуются рисунками. Если рисунков несколько, они нумеруются арабскими цифрами в пределах всего текста. </w:t>
      </w:r>
      <w:r>
        <w:rPr>
          <w:rFonts w:ascii="Times New Roman" w:hAnsi="Times New Roman"/>
          <w:sz w:val="28"/>
          <w:szCs w:val="28"/>
        </w:rPr>
        <w:t xml:space="preserve">Слово «рисунок» и его наименование располагают посередине строки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указанием его порядкового номера (без знака №). Например, «Рисунок 1.», «Рисунок 6.»  Рисунок должен располагаться сразу после упоминания его в работе. Каждый рисунок должен сопровождаться соответствующей подписью, отражающей содержание рисунка. Подпись должна располагаться в одну строку с номером.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сокращенной записи слов в работах могут использоваться общепринятые условные графические сокращения по начальным  буквам или по частям слов: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т.е.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то есть;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 т.д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– и так далее;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 т.п.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тому подобное;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 др.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и другое;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 пр.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прочее;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гг.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годы;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гражданин;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см»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(смотри),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«ср»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(сравни), «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напр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(например),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"ст.ст."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(статьи).</w:t>
      </w:r>
      <w:proofErr w:type="gramEnd"/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использовании в тексте различных числительных, применяются следующие правила: 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1) Однозначные количественные числительные, если при них нет единиц измерения, пишутся словами. Например: "в четвертом пункте" (неправильно - в 4 пункте).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2) Многозначные количественные числительные пишутся цифрами. Например: 25 лет (неправильно - двадцать пять лет).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Исключения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данном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случае составляют числительные, которыми начинается абзац - такие числительные пишутся словами.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3) Числа с сокращенным обозначением единиц измерения пишутся цифрами. например 250 руб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..</w:t>
      </w:r>
      <w:proofErr w:type="gramEnd"/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4) Количественные числительные при записи арабскими цифрами не имеют падежных окончаний, если они сопровождаются существительными. Например: в 7 пунктах (неправильно - в 7-ми пунктах).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5) Однозначные и многозначные порядковые числительные пишутся словами. Например: пятый. Исключения составляют случаи, когда написание порядкового номера обусловлено традицией.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6) Порядковые числительные, входящие в состав сложных слов, пишутся цифрами. Например: 25 - процентный рубеж.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7) Порядковые числительные при записи арабскими цифрами имеют падежные окончания, состоящие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одной буквы, если числительное оканчивается на две согласные, на "й" и на согласную букву;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двух букв, если числительное оканчивается на согласную и гласную букву.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8) Порядковые числительные, обозначенные арабскими цифрами, не имеют падежных окончаний, если они стоят после существительного, к которому они относятся. Например: в ч.2.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2.</w:t>
      </w:r>
    </w:p>
    <w:p w:rsidR="00A70D1B" w:rsidRDefault="00A70D1B" w:rsidP="00A70D1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9) При записи римскими цифрами порядковые числительные окончаний не имеют.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написании выпускной квалификационной работы следует использовать учебную и научную литературу, нормативные правовые акты, действующие на момент подготовки текста работы, материалы судебной практики. Если в контексте работы рассматриваются исторические аспекты заявленной темы, допускается использование нормативных правовых актов СССР, РСФР и иных государств соответствующих исторических  периодов.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цитировании текста источников необходимо оформлять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библиографические ссылки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так называемые сноски. Сноски  целесообразнее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использовать  подстрочные, располагаемые внизу страницы, на которой расположен соответствующий текст. Для связи сносок с текстом используются порядковые числительные. В текстовом редакторе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MicrosoftWord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этого применяется функция «Ссылки» на панели инструментов, в ней  - вкладка «Вставить сноску». Знак сноски располагается в том месте текста, где по смыслу заканчивается мысль автора. Например: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В тексте:  </w:t>
      </w: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Ю.Н. Полетаев приходит к выводу о том, что в сфере трудового права правопорядок «…есть не что иное, как внутренний трудовой распорядок, то есть порядок поведения участников трудового правоотношения в процессе  трудовой деятельности в каждой организации, определяемый правилами внутреннего трудового распорядка и регулируемый нормами трудового права².</w:t>
      </w: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сноске:</w:t>
      </w:r>
    </w:p>
    <w:p w:rsidR="00A70D1B" w:rsidRDefault="00A70D1B" w:rsidP="00A70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Полетаев, Ю.Н.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Правопорядок и ответственность в трудовом праве. М., 2001. С. 20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При использовании источников, написанных коллективом авторов, указывается название работы, фамилия и инициалы ее ответственного редактора, город и год издания, номер страницы.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Полное описание источника приводится только при первой сноске. В последующих сносках вместо названия литературного источника допускается использование сокращения «Указ. соч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..».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Однако, если  в работе, на одной и той же странице, используются ссылки на несколько произведений одного и того же автора, следует указывать в сноске  название каждого из них.   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Если текст цитируется не по первоисточнику, а по другому изданию или по иному документу, то ссылку необходимо начинать со слов «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Цит. </w:t>
      </w:r>
      <w:proofErr w:type="gramStart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>:»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Если источник, на который делается ссылка - один из многих, на который можно сослаться, то используются слова «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., например», «См., в частности:».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Например: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тексте: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работе разделяется позиция исследователей³, по мнению которых использование в России любых форм заемного труда на современном этапе развития законодательства является незаконным.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В сноске: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³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См., например: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Гладков, Н., Пелешенко,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вопросу о правовом регулировании отношений трехстороннего характера в сфере труда. // Вопросы трудового права. 2006. № 3. С. 31;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Костян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легализации заемного труда.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Воросы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права. 2006.  № 11. С. 22;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Потапова, Н. Д..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Дифференциация в правовом регулировании труда работников железнодорожного транспорта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втореф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…канд.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наук. М.,  2007. С. 26    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Если ссылка представляет дополнительную литературу, то нужно указывать «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. также:»,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когда ссылка приводится для сравнения - то поясняют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Ср.»,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чтобы указать, что в ссылке приводится работа, более подробно освещающая затронутый предмет пишут «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Об этом подробнее см.».</w:t>
      </w:r>
    </w:p>
    <w:p w:rsidR="00A70D1B" w:rsidRDefault="00A70D1B" w:rsidP="00A70D1B">
      <w:pPr>
        <w:tabs>
          <w:tab w:val="left" w:pos="47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первом упоминании  нормативного правового акта (кроме Конституции РФ) следует в тексте или сноске указать его полное наименование, кем и когда принят, а в сноске обязательно дать источник.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Например: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тексте: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 о дисциплине работников железнодорожного транспорта 1992 г. предусматривало такую меру дисциплинарного взыскания, как  лишение машиниста свидетельства на право управления локомотивом³.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сноске:</w:t>
      </w:r>
    </w:p>
    <w:p w:rsidR="00A70D1B" w:rsidRDefault="00A70D1B" w:rsidP="00A70D1B">
      <w:pPr>
        <w:spacing w:before="100" w:beforeAutospacing="1" w:after="100" w:afterAutospacing="1" w:line="360" w:lineRule="auto"/>
        <w:ind w:left="18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См. п. 16 Положения о дисциплине работников железнодорожного транспорта Российской Федерации, утв. постановлением Правительства РФ от 25.08. 92 №621 (с изменениями от 07.07.2003) //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Собрание актов Президента и Правительства РФ. 31. 08. 92. №9. С.608; Собрание актов Президента и Правительства РФ, 18.10.93. №8. С. 4008;  Бюллетень Верховного Суда, 2004.№4</w:t>
      </w:r>
    </w:p>
    <w:p w:rsidR="00A70D1B" w:rsidRDefault="00A70D1B" w:rsidP="00A70D1B">
      <w:pPr>
        <w:spacing w:after="0" w:line="360" w:lineRule="auto"/>
        <w:ind w:left="181" w:firstLine="52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Допускается ссылка на информационно-правовые системы «Консультант Плюс», «Гарант», официальный Интернет-сайт «Российской газеты», а также на иные информационные ресурсы, размещенные в Интернете. При этом сноска на указанные ресурсы обязательна. </w:t>
      </w:r>
    </w:p>
    <w:p w:rsidR="00A70D1B" w:rsidRDefault="00A70D1B" w:rsidP="00A70D1B">
      <w:pPr>
        <w:spacing w:after="0" w:line="360" w:lineRule="auto"/>
        <w:ind w:left="181" w:firstLine="52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Например:</w:t>
      </w:r>
    </w:p>
    <w:p w:rsidR="00A70D1B" w:rsidRDefault="00A70D1B" w:rsidP="00A70D1B">
      <w:pPr>
        <w:spacing w:after="0" w:line="360" w:lineRule="auto"/>
        <w:ind w:left="180"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²Источник информации: официальный Интернет-сайт ОАО «РЖД»: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http: //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rzd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Библиографический список представляет собой перечень использованных источников. При этом применяется определенные порядок расположения литературы в перечне: сначала указываются нормативные правовые акты и официальные документы, располагаемые следующим образом: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Международные правовые акты;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Нормативные правовые акты органов федеральной власти:</w:t>
      </w:r>
    </w:p>
    <w:p w:rsidR="00A70D1B" w:rsidRDefault="00A70D1B" w:rsidP="00A70D1B">
      <w:pPr>
        <w:tabs>
          <w:tab w:val="left" w:pos="270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        Конституция Российской Федерации;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федеральные конституционные законы Российской Федерации;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кодексы;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федеральные законы;</w:t>
      </w:r>
    </w:p>
    <w:p w:rsidR="00A70D1B" w:rsidRDefault="00A70D1B" w:rsidP="00A70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подзаконные акты:</w:t>
      </w:r>
    </w:p>
    <w:p w:rsidR="00A70D1B" w:rsidRDefault="00A70D1B" w:rsidP="00A70D1B">
      <w:pPr>
        <w:spacing w:after="0" w:line="360" w:lineRule="auto"/>
        <w:ind w:left="157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а) акты Президента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;</w:t>
      </w:r>
      <w:proofErr w:type="gramEnd"/>
    </w:p>
    <w:p w:rsidR="00A70D1B" w:rsidRDefault="00A70D1B" w:rsidP="00A70D1B">
      <w:pPr>
        <w:spacing w:after="0" w:line="360" w:lineRule="auto"/>
        <w:ind w:left="157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б) акты Правительства Российской Федерации;</w:t>
      </w:r>
    </w:p>
    <w:p w:rsidR="00A70D1B" w:rsidRDefault="00A70D1B" w:rsidP="00A70D1B">
      <w:pPr>
        <w:spacing w:after="0" w:line="360" w:lineRule="auto"/>
        <w:ind w:left="157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в) акты федеральных органов исполнительной власти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Нормативные правовые акты субъектов Российской Федерации и органов местного самоуправления;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 Пленумов Верховных Судов Российской Федерации;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  Пленумов Верховных Судов субъектов Российской Федерации;</w:t>
      </w:r>
    </w:p>
    <w:p w:rsidR="00A70D1B" w:rsidRDefault="00A70D1B" w:rsidP="00A70D1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Официальная статистическая информация.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составления перечня нормативных правовых актов указываются их статус (закон, постановление, указ и т.д.), дата утверждения, номер и название. Даты последних изменений указывать не нужно.   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Например: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Федеральный закон от 17 декабря 2001 г. № 173-ФЗ «О трудовых пенсиях в Российской Федерации». 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Далее указывается  научная и учебная литература. Данная литература сортируется по алфавитному признаку. Алфавитный способ сортировки характеризуется указанием фамилий авторов в алфавитном порядке. При этом не допускается смешение различных алфавитов: иностранные источники обычно располагаются по алфавиту после перечня всех источников.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оформлении описания книги (учебника, монографии и т.п.) приводятся следующие сведения: фамилия автора, через запятую – инициалы, разделенные точкой, название книги, далее, через косую черту – инициалы и фамилия автора, разделенные точкой, место и год издания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апример: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Таль, Л.С.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договор.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Цивилистическое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исследование. Ч.1. Общее учение / Л.С. Таль. Ярославль, 1913.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при написании работы использовалась книга (как правило, это относится к учебникам, учебным пособиям и комментариям законодательства), написанная коллективом авторов под редакцией какого-либо ученого, то в библиографическом списке такой  источник оформляется следующим образом: указывается название книги, затем, через косую черту,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слов «под ред.», инициалы и фамилия ученого, осуществившего редактирование, разделенные точкой, и далее – место и год издания.    </w:t>
      </w:r>
      <w:proofErr w:type="gramEnd"/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экономической безопасности правоохранительными подразделениями таможенных органов: учебник / под ред. В.А. Жбанкова. М., 2007 или Комментарий к законодательству о службе в таможенных органах Российской Федерации / под ред.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Зубача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М., 2014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Данные о статье из периодического издания указываются в следующем порядке: фамилия и через запятую инициалы автора, разделенные точкой, название статьи, далее через косую черту повторяются инициалы и фамилия автора, разделенные точкой, затем, через две косые черты – название издания, год выпуска и номер. 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Например: Залов, А.Ф. Проблемы квалификации продолжающихся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А.Ф. Залов // Законность. 2014. №2 </w:t>
      </w:r>
    </w:p>
    <w:p w:rsidR="00A70D1B" w:rsidRDefault="00A70D1B" w:rsidP="00A70D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аспекты отношений с участием иностранных физических лиц в России / В.В. Новиков // Юрист. 2011. №2   </w:t>
      </w:r>
    </w:p>
    <w:p w:rsidR="00A70D1B" w:rsidRDefault="00A70D1B" w:rsidP="00A70D1B">
      <w:pPr>
        <w:spacing w:after="0" w:line="360" w:lineRule="auto"/>
        <w:ind w:left="76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spacing w:after="0" w:line="360" w:lineRule="auto"/>
        <w:ind w:left="180" w:firstLine="52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Специальные правила применяются при оформлении содержащихся в работе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приложений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примечаний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70D1B" w:rsidRDefault="00A70D1B" w:rsidP="00A70D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Приложения обладают дополнительным значением по отношению к основному тексту работы, и применяются, как правило, для более полного освещения избранной темы. В приложения могут быть вынесены  статистические данные, таблицы, образцы документов и т.д.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Оформляются приложения как продолжение письменной работы (как правило, курсового или дипломного исследования) на последних страницах, после списка использованных источников. Каждое приложение размещается с новой страницы с указанием в правом верхнем углу слова «Приложение» и соответствующего заголовка. Если приложений несколько, они нумеруются арабскими цифрами («Приложение 1», «Приложение 2»). Номера страниц, на которых располагаются  приложения, должны быть  включены в общую нумерацию страниц основного текста работы. 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Если содержание работы требует дополнительных разъяснений или включения в него справочной информации, то такой материал, во избежание излишнего загромождения основного текста, можно оформить как примечание.   Текст примечаний можно вынести в подстрочную сноску, либо  расположить 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конце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главы (раздела) или параграфа (подраздела) работы.</w:t>
      </w:r>
    </w:p>
    <w:p w:rsidR="00A70D1B" w:rsidRDefault="00A70D1B" w:rsidP="00A70D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0D1B" w:rsidRDefault="00A70D1B" w:rsidP="00A70D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13B9" w:rsidRDefault="00AF13B9"/>
    <w:sectPr w:rsidR="00AF13B9" w:rsidSect="008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8E"/>
    <w:multiLevelType w:val="hybridMultilevel"/>
    <w:tmpl w:val="A06493E0"/>
    <w:lvl w:ilvl="0" w:tplc="C70008F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0E6211F"/>
    <w:multiLevelType w:val="hybridMultilevel"/>
    <w:tmpl w:val="619AB34C"/>
    <w:lvl w:ilvl="0" w:tplc="38CA21A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3DA77A01"/>
    <w:multiLevelType w:val="hybridMultilevel"/>
    <w:tmpl w:val="00DE9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6C"/>
    <w:rsid w:val="00012F6C"/>
    <w:rsid w:val="000610AA"/>
    <w:rsid w:val="0008169E"/>
    <w:rsid w:val="001A7ED7"/>
    <w:rsid w:val="001D315E"/>
    <w:rsid w:val="00346196"/>
    <w:rsid w:val="00382C86"/>
    <w:rsid w:val="003B2D4A"/>
    <w:rsid w:val="004615F5"/>
    <w:rsid w:val="00487A34"/>
    <w:rsid w:val="004D7A75"/>
    <w:rsid w:val="004F5986"/>
    <w:rsid w:val="00517066"/>
    <w:rsid w:val="00540ECC"/>
    <w:rsid w:val="005C4C60"/>
    <w:rsid w:val="00680D99"/>
    <w:rsid w:val="006A5661"/>
    <w:rsid w:val="00751911"/>
    <w:rsid w:val="00760DC6"/>
    <w:rsid w:val="007918ED"/>
    <w:rsid w:val="007A70D0"/>
    <w:rsid w:val="007D7A7E"/>
    <w:rsid w:val="007E4CCA"/>
    <w:rsid w:val="00801438"/>
    <w:rsid w:val="00821358"/>
    <w:rsid w:val="008A7D4B"/>
    <w:rsid w:val="008C6710"/>
    <w:rsid w:val="008D7EBA"/>
    <w:rsid w:val="0091788B"/>
    <w:rsid w:val="009322D2"/>
    <w:rsid w:val="00A42EC1"/>
    <w:rsid w:val="00A70D1B"/>
    <w:rsid w:val="00AF13B9"/>
    <w:rsid w:val="00BB5014"/>
    <w:rsid w:val="00BD1815"/>
    <w:rsid w:val="00BD42CC"/>
    <w:rsid w:val="00C13FA6"/>
    <w:rsid w:val="00C36952"/>
    <w:rsid w:val="00C45EB3"/>
    <w:rsid w:val="00C761E4"/>
    <w:rsid w:val="00D13418"/>
    <w:rsid w:val="00D52A8D"/>
    <w:rsid w:val="00DB10E2"/>
    <w:rsid w:val="00DE558A"/>
    <w:rsid w:val="00EA7DF9"/>
    <w:rsid w:val="00EB56E7"/>
    <w:rsid w:val="00ED16FF"/>
    <w:rsid w:val="00F07386"/>
    <w:rsid w:val="00F64801"/>
    <w:rsid w:val="00F96E65"/>
    <w:rsid w:val="00FB48EF"/>
    <w:rsid w:val="00FB608F"/>
    <w:rsid w:val="00FD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Просвещение</cp:lastModifiedBy>
  <cp:revision>2</cp:revision>
  <dcterms:created xsi:type="dcterms:W3CDTF">2016-03-16T15:22:00Z</dcterms:created>
  <dcterms:modified xsi:type="dcterms:W3CDTF">2016-03-16T15:22:00Z</dcterms:modified>
</cp:coreProperties>
</file>